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41B72" w14:textId="77777777" w:rsidR="00E41651" w:rsidRDefault="00E41651" w:rsidP="00E41651">
      <w:pPr>
        <w:spacing w:before="17"/>
        <w:ind w:right="2667"/>
        <w:rPr>
          <w:rFonts w:ascii="Calibri"/>
          <w:b/>
          <w:spacing w:val="-1"/>
          <w:sz w:val="32"/>
        </w:rPr>
      </w:pPr>
    </w:p>
    <w:p w14:paraId="2BCDB9FC" w14:textId="77777777" w:rsidR="00E41651" w:rsidRDefault="00E41651" w:rsidP="00E41651">
      <w:pPr>
        <w:spacing w:before="17"/>
        <w:ind w:right="2667"/>
        <w:rPr>
          <w:rFonts w:ascii="Calibri"/>
          <w:b/>
          <w:spacing w:val="-1"/>
          <w:sz w:val="32"/>
        </w:rPr>
      </w:pPr>
    </w:p>
    <w:p w14:paraId="0E64BCA9" w14:textId="77777777" w:rsidR="00E41651" w:rsidRPr="00A20A63" w:rsidRDefault="00E41651" w:rsidP="00E41651">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49A65724" w14:textId="77777777" w:rsidR="00E41651" w:rsidRPr="00E675D7" w:rsidRDefault="00E41651" w:rsidP="00E41651">
      <w:pPr>
        <w:jc w:val="center"/>
        <w:rPr>
          <w:rFonts w:cstheme="minorHAnsi"/>
          <w:noProof/>
          <w:sz w:val="44"/>
          <w:szCs w:val="44"/>
        </w:rPr>
      </w:pPr>
      <w:r w:rsidRPr="00E675D7">
        <w:rPr>
          <w:rFonts w:cstheme="minorHAnsi"/>
          <w:noProof/>
          <w:sz w:val="44"/>
          <w:szCs w:val="44"/>
        </w:rPr>
        <w:t>Alexis Sturm</w:t>
      </w:r>
    </w:p>
    <w:p w14:paraId="0D69DF51" w14:textId="77777777" w:rsidR="00E41651" w:rsidRPr="00E675D7" w:rsidRDefault="00E41651" w:rsidP="00E41651">
      <w:pPr>
        <w:jc w:val="center"/>
        <w:rPr>
          <w:rFonts w:cstheme="minorHAnsi"/>
          <w:noProof/>
          <w:sz w:val="44"/>
          <w:szCs w:val="44"/>
        </w:rPr>
      </w:pPr>
      <w:r w:rsidRPr="00E675D7">
        <w:rPr>
          <w:rFonts w:cstheme="minorHAnsi"/>
          <w:noProof/>
          <w:sz w:val="44"/>
          <w:szCs w:val="44"/>
        </w:rPr>
        <w:t>Director</w:t>
      </w:r>
    </w:p>
    <w:p w14:paraId="31A8D4BC" w14:textId="77777777" w:rsidR="00E41651" w:rsidRPr="00561D3D" w:rsidRDefault="00E41651" w:rsidP="00E41651">
      <w:pPr>
        <w:jc w:val="center"/>
        <w:rPr>
          <w:rFonts w:cstheme="minorHAnsi"/>
          <w:spacing w:val="-1"/>
          <w:sz w:val="64"/>
          <w:szCs w:val="64"/>
        </w:rPr>
      </w:pPr>
    </w:p>
    <w:p w14:paraId="34F5ED84" w14:textId="77777777" w:rsidR="00E41651" w:rsidRDefault="00E41651" w:rsidP="00E41651">
      <w:pPr>
        <w:spacing w:before="17"/>
        <w:ind w:right="2667"/>
        <w:rPr>
          <w:rFonts w:ascii="Calibri"/>
          <w:b/>
          <w:spacing w:val="-1"/>
          <w:sz w:val="32"/>
        </w:rPr>
      </w:pPr>
    </w:p>
    <w:p w14:paraId="59A5A3CA" w14:textId="77777777" w:rsidR="00E41651" w:rsidRDefault="00E41651" w:rsidP="00E41651">
      <w:pPr>
        <w:spacing w:before="17"/>
        <w:ind w:left="2665" w:right="2667"/>
        <w:jc w:val="center"/>
        <w:rPr>
          <w:rFonts w:ascii="Calibri"/>
          <w:b/>
          <w:spacing w:val="-1"/>
          <w:sz w:val="32"/>
        </w:rPr>
      </w:pPr>
      <w:r>
        <w:rPr>
          <w:noProof/>
        </w:rPr>
        <w:drawing>
          <wp:inline distT="0" distB="0" distL="0" distR="0" wp14:anchorId="20A5C604" wp14:editId="12AA5C6D">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4289571F" w14:textId="77777777" w:rsidR="00E41651" w:rsidRDefault="00E41651" w:rsidP="00E41651">
      <w:pPr>
        <w:spacing w:before="1"/>
        <w:rPr>
          <w:rFonts w:ascii="Calibri" w:eastAsia="Calibri" w:hAnsi="Calibri" w:cs="Calibri"/>
          <w:b/>
          <w:bCs/>
          <w:sz w:val="24"/>
          <w:szCs w:val="24"/>
        </w:rPr>
      </w:pPr>
    </w:p>
    <w:p w14:paraId="29E018D4" w14:textId="77777777" w:rsidR="00E41651" w:rsidRDefault="00E41651" w:rsidP="00E41651">
      <w:pPr>
        <w:spacing w:before="1"/>
        <w:jc w:val="center"/>
        <w:rPr>
          <w:rFonts w:ascii="Calibri" w:eastAsia="Calibri" w:hAnsi="Calibri" w:cs="Calibri"/>
          <w:bCs/>
          <w:sz w:val="64"/>
          <w:szCs w:val="64"/>
        </w:rPr>
      </w:pPr>
    </w:p>
    <w:p w14:paraId="15254B52" w14:textId="77777777" w:rsidR="00E41651" w:rsidRDefault="00E41651" w:rsidP="00E41651">
      <w:pPr>
        <w:spacing w:before="1"/>
        <w:jc w:val="center"/>
        <w:rPr>
          <w:rFonts w:ascii="Calibri" w:eastAsia="Calibri" w:hAnsi="Calibri" w:cs="Calibri"/>
          <w:bCs/>
          <w:sz w:val="64"/>
          <w:szCs w:val="64"/>
        </w:rPr>
      </w:pPr>
      <w:r>
        <w:rPr>
          <w:rFonts w:ascii="Calibri" w:eastAsia="Calibri" w:hAnsi="Calibri" w:cs="Calibri"/>
          <w:bCs/>
          <w:sz w:val="64"/>
          <w:szCs w:val="64"/>
        </w:rPr>
        <w:t xml:space="preserve">IL Regulatory Sunset Act Review </w:t>
      </w:r>
    </w:p>
    <w:p w14:paraId="52C73525" w14:textId="77777777" w:rsidR="00E41651" w:rsidRPr="00561D3D" w:rsidRDefault="00E41651" w:rsidP="00E41651">
      <w:pPr>
        <w:spacing w:before="1"/>
        <w:jc w:val="center"/>
        <w:rPr>
          <w:rFonts w:ascii="Calibri" w:eastAsia="Calibri" w:hAnsi="Calibri" w:cs="Calibri"/>
          <w:bCs/>
          <w:sz w:val="64"/>
          <w:szCs w:val="64"/>
        </w:rPr>
      </w:pPr>
      <w:r>
        <w:rPr>
          <w:rFonts w:ascii="Calibri" w:eastAsia="Calibri" w:hAnsi="Calibri" w:cs="Calibri"/>
          <w:bCs/>
          <w:sz w:val="64"/>
          <w:szCs w:val="64"/>
        </w:rPr>
        <w:t>of</w:t>
      </w:r>
    </w:p>
    <w:p w14:paraId="3F4EBAA9" w14:textId="77777777" w:rsidR="00E41651" w:rsidRDefault="00E77288" w:rsidP="00E41651">
      <w:pPr>
        <w:spacing w:before="1"/>
        <w:jc w:val="center"/>
        <w:rPr>
          <w:rFonts w:ascii="Calibri" w:eastAsia="Calibri" w:hAnsi="Calibri" w:cs="Calibri"/>
          <w:bCs/>
          <w:sz w:val="44"/>
          <w:szCs w:val="44"/>
        </w:rPr>
      </w:pPr>
      <w:r>
        <w:rPr>
          <w:rFonts w:ascii="Calibri" w:eastAsia="Calibri" w:hAnsi="Calibri" w:cs="Calibri"/>
          <w:bCs/>
          <w:sz w:val="64"/>
          <w:szCs w:val="64"/>
        </w:rPr>
        <w:t xml:space="preserve">The </w:t>
      </w:r>
      <w:r w:rsidRPr="00E77288">
        <w:rPr>
          <w:rFonts w:ascii="Calibri" w:eastAsia="Calibri" w:hAnsi="Calibri" w:cs="Calibri"/>
          <w:bCs/>
          <w:sz w:val="64"/>
          <w:szCs w:val="64"/>
        </w:rPr>
        <w:t>Registered Interior Designers Act</w:t>
      </w:r>
    </w:p>
    <w:p w14:paraId="4A5BC6A7" w14:textId="77777777" w:rsidR="00E41651" w:rsidRDefault="00E41651" w:rsidP="00E41651">
      <w:pPr>
        <w:spacing w:before="1"/>
        <w:jc w:val="center"/>
        <w:rPr>
          <w:rFonts w:ascii="Calibri" w:eastAsia="Calibri" w:hAnsi="Calibri" w:cs="Calibri"/>
          <w:bCs/>
          <w:sz w:val="44"/>
          <w:szCs w:val="44"/>
        </w:rPr>
      </w:pPr>
    </w:p>
    <w:p w14:paraId="3DE0C5AA" w14:textId="77777777" w:rsidR="00E41651" w:rsidRPr="00E675D7" w:rsidRDefault="00E77288" w:rsidP="00E41651">
      <w:pPr>
        <w:spacing w:before="1"/>
        <w:jc w:val="center"/>
        <w:rPr>
          <w:rFonts w:ascii="Calibri" w:eastAsia="Calibri" w:hAnsi="Calibri" w:cs="Calibri"/>
          <w:bCs/>
          <w:sz w:val="44"/>
          <w:szCs w:val="44"/>
        </w:rPr>
      </w:pPr>
      <w:r w:rsidRPr="00DB2755">
        <w:rPr>
          <w:rFonts w:ascii="Calibri" w:eastAsia="Calibri" w:hAnsi="Calibri" w:cs="Calibri"/>
          <w:bCs/>
          <w:sz w:val="44"/>
          <w:szCs w:val="44"/>
          <w:highlight w:val="yellow"/>
        </w:rPr>
        <w:t>Month Day</w:t>
      </w:r>
      <w:r w:rsidR="00E41651" w:rsidRPr="00E675D7">
        <w:rPr>
          <w:rFonts w:ascii="Calibri" w:eastAsia="Calibri" w:hAnsi="Calibri" w:cs="Calibri"/>
          <w:bCs/>
          <w:sz w:val="44"/>
          <w:szCs w:val="44"/>
        </w:rPr>
        <w:t>, 20</w:t>
      </w:r>
      <w:r>
        <w:rPr>
          <w:rFonts w:ascii="Calibri" w:eastAsia="Calibri" w:hAnsi="Calibri" w:cs="Calibri"/>
          <w:bCs/>
          <w:sz w:val="44"/>
          <w:szCs w:val="44"/>
        </w:rPr>
        <w:t>20</w:t>
      </w:r>
    </w:p>
    <w:p w14:paraId="730BF228" w14:textId="77777777" w:rsidR="00E41651" w:rsidRDefault="00E41651" w:rsidP="00E41651">
      <w:pPr>
        <w:spacing w:before="1"/>
        <w:rPr>
          <w:rFonts w:ascii="Calibri" w:eastAsia="Calibri" w:hAnsi="Calibri" w:cs="Calibri"/>
          <w:b/>
          <w:bCs/>
          <w:sz w:val="24"/>
          <w:szCs w:val="24"/>
        </w:rPr>
      </w:pPr>
    </w:p>
    <w:p w14:paraId="2C55DBD9" w14:textId="77777777" w:rsidR="00E41651" w:rsidRDefault="00E41651" w:rsidP="00E41651">
      <w:pPr>
        <w:spacing w:before="1"/>
        <w:rPr>
          <w:rFonts w:ascii="Calibri" w:eastAsia="Calibri" w:hAnsi="Calibri" w:cs="Calibri"/>
          <w:b/>
          <w:bCs/>
          <w:sz w:val="24"/>
          <w:szCs w:val="24"/>
        </w:rPr>
      </w:pPr>
    </w:p>
    <w:p w14:paraId="74DFDC49" w14:textId="77777777" w:rsidR="00E41651" w:rsidRDefault="00E41651" w:rsidP="00E41651">
      <w:pPr>
        <w:spacing w:before="1"/>
        <w:rPr>
          <w:rFonts w:ascii="Calibri" w:eastAsia="Calibri" w:hAnsi="Calibri" w:cs="Calibri"/>
          <w:b/>
          <w:bCs/>
          <w:sz w:val="24"/>
          <w:szCs w:val="24"/>
        </w:rPr>
      </w:pPr>
    </w:p>
    <w:p w14:paraId="4B12CF29" w14:textId="77777777" w:rsidR="00E41651" w:rsidRDefault="00E41651" w:rsidP="00E41651">
      <w:pPr>
        <w:widowControl/>
        <w:spacing w:after="160" w:line="259" w:lineRule="auto"/>
        <w:rPr>
          <w:rFonts w:ascii="Calibri" w:eastAsia="Calibri" w:hAnsi="Calibri" w:cs="Calibri"/>
          <w:b/>
          <w:bCs/>
        </w:rPr>
      </w:pPr>
      <w:r>
        <w:rPr>
          <w:rFonts w:ascii="Calibri" w:eastAsia="Calibri" w:hAnsi="Calibri" w:cs="Calibri"/>
          <w:b/>
          <w:bCs/>
        </w:rPr>
        <w:br w:type="page"/>
      </w:r>
    </w:p>
    <w:p w14:paraId="2BA22E70" w14:textId="77777777" w:rsidR="00E41651" w:rsidRPr="00E675D7" w:rsidRDefault="00E41651" w:rsidP="00E41651">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07DC50AA" w14:textId="77777777" w:rsidR="00E41651" w:rsidRPr="00E675D7" w:rsidRDefault="00E41651" w:rsidP="00E41651">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2A0F324C" w14:textId="77777777" w:rsidR="00E41651" w:rsidRPr="00E675D7" w:rsidRDefault="00E41651" w:rsidP="00E41651">
      <w:pPr>
        <w:spacing w:before="1"/>
        <w:jc w:val="center"/>
        <w:rPr>
          <w:rFonts w:ascii="Calibri" w:eastAsia="Calibri" w:hAnsi="Calibri" w:cs="Calibri"/>
          <w:b/>
          <w:bCs/>
        </w:rPr>
      </w:pPr>
    </w:p>
    <w:p w14:paraId="24094B5A" w14:textId="77777777" w:rsidR="00E41651" w:rsidRPr="00E675D7" w:rsidRDefault="00E41651" w:rsidP="00E41651">
      <w:pPr>
        <w:spacing w:before="1"/>
        <w:jc w:val="center"/>
        <w:rPr>
          <w:rFonts w:ascii="Calibri" w:eastAsia="Calibri" w:hAnsi="Calibri" w:cs="Calibri"/>
          <w:b/>
          <w:bCs/>
        </w:rPr>
      </w:pPr>
    </w:p>
    <w:p w14:paraId="139C88F3" w14:textId="77777777" w:rsidR="00E41651" w:rsidRPr="00E675D7" w:rsidRDefault="00E41651" w:rsidP="00E41651">
      <w:pPr>
        <w:spacing w:before="1"/>
        <w:rPr>
          <w:rFonts w:ascii="Calibri" w:eastAsia="Calibri" w:hAnsi="Calibri" w:cs="Calibri"/>
          <w:bCs/>
        </w:rPr>
      </w:pPr>
    </w:p>
    <w:p w14:paraId="773E902A" w14:textId="77777777" w:rsidR="00E41651" w:rsidRPr="00E675D7" w:rsidRDefault="00E41651" w:rsidP="00E41651">
      <w:pPr>
        <w:spacing w:before="1"/>
        <w:rPr>
          <w:rFonts w:ascii="Calibri" w:eastAsia="Calibri" w:hAnsi="Calibri" w:cs="Calibri"/>
          <w:bCs/>
        </w:rPr>
      </w:pPr>
      <w:r w:rsidRPr="00E675D7">
        <w:rPr>
          <w:rFonts w:ascii="Calibri" w:eastAsia="Calibri" w:hAnsi="Calibri" w:cs="Calibri"/>
          <w:bCs/>
        </w:rPr>
        <w:t>Governor Pritzker:</w:t>
      </w:r>
    </w:p>
    <w:p w14:paraId="362D9CCF" w14:textId="77777777" w:rsidR="00E41651" w:rsidRPr="00E675D7" w:rsidRDefault="00E41651" w:rsidP="00E41651">
      <w:pPr>
        <w:spacing w:before="1"/>
        <w:rPr>
          <w:rFonts w:ascii="Calibri" w:eastAsia="Calibri" w:hAnsi="Calibri" w:cs="Calibri"/>
          <w:bCs/>
        </w:rPr>
      </w:pPr>
    </w:p>
    <w:p w14:paraId="0EE58D4A" w14:textId="77777777" w:rsidR="00E41651" w:rsidRPr="00E675D7" w:rsidRDefault="00E41651" w:rsidP="00E41651">
      <w:pPr>
        <w:spacing w:before="1"/>
        <w:rPr>
          <w:rFonts w:ascii="Calibri" w:eastAsia="Calibri" w:hAnsi="Calibri" w:cs="Calibri"/>
          <w:bCs/>
        </w:rPr>
      </w:pPr>
      <w:r w:rsidRPr="00E675D7">
        <w:rPr>
          <w:rFonts w:ascii="Calibri" w:eastAsia="Calibri" w:hAnsi="Calibri" w:cs="Calibri"/>
          <w:bCs/>
        </w:rPr>
        <w:t>The Governor’s Office of Management and Budget (GOMB)</w:t>
      </w:r>
      <w:r>
        <w:rPr>
          <w:rFonts w:ascii="Calibri" w:eastAsia="Calibri" w:hAnsi="Calibri" w:cs="Calibri"/>
          <w:bCs/>
        </w:rPr>
        <w:t xml:space="preserve"> in collaboration with </w:t>
      </w:r>
      <w:r w:rsidRPr="00F91BF7">
        <w:t>the Illinois Department of Financial and Professional Regulation (IDFPR)</w:t>
      </w:r>
      <w:r w:rsidRPr="00E675D7">
        <w:rPr>
          <w:rFonts w:ascii="Calibri" w:eastAsia="Calibri" w:hAnsi="Calibri" w:cs="Calibri"/>
          <w:bCs/>
        </w:rPr>
        <w:t>, in compliance with the requirements set forth in the Illinois Regulatory Sunset Act (</w:t>
      </w:r>
      <w:r w:rsidRPr="00976788">
        <w:rPr>
          <w:rFonts w:ascii="Calibri" w:eastAsia="Calibri" w:hAnsi="Calibri" w:cs="Calibri"/>
          <w:bCs/>
        </w:rPr>
        <w:t>5 ILCS 80</w:t>
      </w:r>
      <w:r w:rsidRPr="00E675D7">
        <w:rPr>
          <w:rFonts w:ascii="Calibri" w:eastAsia="Calibri" w:hAnsi="Calibri" w:cs="Calibri"/>
          <w:bCs/>
        </w:rPr>
        <w:t xml:space="preserve">), has conducted a review of the </w:t>
      </w:r>
      <w:r w:rsidR="00E77288" w:rsidRPr="00E77288">
        <w:rPr>
          <w:rFonts w:ascii="Calibri" w:eastAsia="Calibri" w:hAnsi="Calibri" w:cs="Calibri"/>
          <w:bCs/>
        </w:rPr>
        <w:t xml:space="preserve">Registered Interior Designers Act </w:t>
      </w:r>
      <w:r w:rsidRPr="00E675D7">
        <w:rPr>
          <w:rFonts w:ascii="Calibri" w:eastAsia="Calibri" w:hAnsi="Calibri" w:cs="Calibri"/>
          <w:bCs/>
        </w:rPr>
        <w:t>(</w:t>
      </w:r>
      <w:r w:rsidR="00E77288" w:rsidRPr="00E77288">
        <w:rPr>
          <w:rFonts w:ascii="Calibri" w:eastAsia="Calibri" w:hAnsi="Calibri" w:cs="Calibri"/>
          <w:bCs/>
        </w:rPr>
        <w:t>225 ILCS 310</w:t>
      </w:r>
      <w:r w:rsidRPr="00E675D7">
        <w:rPr>
          <w:rFonts w:ascii="Calibri" w:eastAsia="Calibri" w:hAnsi="Calibri" w:cs="Calibri"/>
          <w:bCs/>
        </w:rPr>
        <w:t>), which is scheduled to sunset on January 1, 202</w:t>
      </w:r>
      <w:r w:rsidR="00824A60">
        <w:rPr>
          <w:rFonts w:ascii="Calibri" w:eastAsia="Calibri" w:hAnsi="Calibri" w:cs="Calibri"/>
          <w:bCs/>
        </w:rPr>
        <w:t>2</w:t>
      </w:r>
      <w:r w:rsidRPr="00E675D7">
        <w:rPr>
          <w:rFonts w:ascii="Calibri" w:eastAsia="Calibri" w:hAnsi="Calibri" w:cs="Calibri"/>
          <w:bCs/>
        </w:rPr>
        <w:t xml:space="preserve">. </w:t>
      </w:r>
      <w:r>
        <w:rPr>
          <w:rFonts w:ascii="Calibri" w:eastAsia="Calibri" w:hAnsi="Calibri" w:cs="Calibri"/>
          <w:bCs/>
        </w:rPr>
        <w:t xml:space="preserve">The </w:t>
      </w:r>
      <w:r w:rsidRPr="00E675D7">
        <w:rPr>
          <w:rFonts w:ascii="Calibri" w:eastAsia="Calibri" w:hAnsi="Calibri" w:cs="Calibri"/>
          <w:bCs/>
        </w:rPr>
        <w:t>following recommendation</w:t>
      </w:r>
      <w:r>
        <w:rPr>
          <w:rFonts w:ascii="Calibri" w:eastAsia="Calibri" w:hAnsi="Calibri" w:cs="Calibri"/>
          <w:bCs/>
        </w:rPr>
        <w:t xml:space="preserve"> is pursuant to this review</w:t>
      </w:r>
      <w:r w:rsidRPr="00E675D7">
        <w:rPr>
          <w:rFonts w:ascii="Calibri" w:eastAsia="Calibri" w:hAnsi="Calibri" w:cs="Calibri"/>
          <w:bCs/>
        </w:rPr>
        <w:t>:</w:t>
      </w:r>
    </w:p>
    <w:p w14:paraId="176A0C6D" w14:textId="77777777" w:rsidR="00E41651" w:rsidRPr="00E675D7" w:rsidRDefault="00E41651" w:rsidP="00E41651">
      <w:pPr>
        <w:spacing w:before="1"/>
        <w:rPr>
          <w:rFonts w:ascii="Calibri" w:eastAsia="Calibri" w:hAnsi="Calibri" w:cs="Calibri"/>
          <w:bCs/>
        </w:rPr>
      </w:pPr>
    </w:p>
    <w:p w14:paraId="5A6B8272" w14:textId="77777777" w:rsidR="00E41651" w:rsidRPr="00E675D7" w:rsidRDefault="00E41651" w:rsidP="00E41651">
      <w:pPr>
        <w:spacing w:before="1"/>
        <w:rPr>
          <w:rFonts w:ascii="Calibri" w:eastAsia="Calibri" w:hAnsi="Calibri" w:cs="Calibri"/>
          <w:bCs/>
        </w:rPr>
      </w:pPr>
      <w:r w:rsidRPr="00E675D7">
        <w:rPr>
          <w:rFonts w:ascii="Calibri" w:eastAsia="Calibri" w:hAnsi="Calibri" w:cs="Calibri"/>
          <w:bCs/>
        </w:rPr>
        <w:t xml:space="preserve">The </w:t>
      </w:r>
      <w:r w:rsidR="00E77288" w:rsidRPr="00E77288">
        <w:rPr>
          <w:rFonts w:ascii="Calibri" w:eastAsia="Calibri" w:hAnsi="Calibri" w:cs="Calibri"/>
          <w:bCs/>
        </w:rPr>
        <w:t>Registered Interior Designers Act (225 ILCS 310)</w:t>
      </w:r>
      <w:r w:rsidRPr="00E675D7">
        <w:rPr>
          <w:rFonts w:ascii="Calibri" w:eastAsia="Calibri" w:hAnsi="Calibri" w:cs="Calibri"/>
          <w:bCs/>
        </w:rPr>
        <w:t xml:space="preserve"> should be continued with the following modification to its existing statutory and administrative rule framework. </w:t>
      </w:r>
    </w:p>
    <w:p w14:paraId="697828E0" w14:textId="77777777" w:rsidR="00E41651" w:rsidRPr="00E675D7" w:rsidRDefault="00E41651" w:rsidP="00E41651">
      <w:pPr>
        <w:spacing w:before="1"/>
        <w:rPr>
          <w:rFonts w:ascii="Calibri" w:eastAsia="Calibri" w:hAnsi="Calibri" w:cs="Calibri"/>
          <w:bCs/>
        </w:rPr>
      </w:pPr>
    </w:p>
    <w:p w14:paraId="41C514EF" w14:textId="77777777" w:rsidR="00E41651" w:rsidRPr="00F91BF7" w:rsidRDefault="00E41651" w:rsidP="00E41651">
      <w:pPr>
        <w:pStyle w:val="ListParagraph"/>
        <w:numPr>
          <w:ilvl w:val="0"/>
          <w:numId w:val="1"/>
        </w:numPr>
      </w:pPr>
      <w:r w:rsidRPr="00F91BF7">
        <w:t xml:space="preserve">Add </w:t>
      </w:r>
      <w:r>
        <w:t xml:space="preserve">a </w:t>
      </w:r>
      <w:r w:rsidRPr="00F91BF7">
        <w:t>definition of “Email address of record</w:t>
      </w:r>
      <w:r>
        <w:t>,</w:t>
      </w:r>
      <w:r w:rsidRPr="00F91BF7">
        <w:t>”</w:t>
      </w:r>
      <w:r>
        <w:t xml:space="preserve"> s</w:t>
      </w:r>
      <w:r w:rsidRPr="00F91BF7">
        <w:t xml:space="preserve">tandardizing IDFPR’s initiative to become more efficient </w:t>
      </w:r>
      <w:r w:rsidRPr="00E675D7">
        <w:t>and</w:t>
      </w:r>
      <w:r w:rsidRPr="00F91BF7">
        <w:t xml:space="preserve"> paperless.  </w:t>
      </w:r>
    </w:p>
    <w:p w14:paraId="40C0DC75" w14:textId="77777777" w:rsidR="00E41651" w:rsidRPr="00E675D7" w:rsidRDefault="00E41651" w:rsidP="00E41651">
      <w:pPr>
        <w:spacing w:before="1"/>
        <w:rPr>
          <w:rFonts w:ascii="Calibri" w:eastAsia="Calibri" w:hAnsi="Calibri" w:cs="Calibri"/>
          <w:bCs/>
        </w:rPr>
      </w:pPr>
    </w:p>
    <w:p w14:paraId="41D640DB" w14:textId="77777777" w:rsidR="00E41651" w:rsidRPr="00E675D7" w:rsidRDefault="00E41651" w:rsidP="00E41651">
      <w:pPr>
        <w:spacing w:before="1"/>
        <w:rPr>
          <w:rFonts w:ascii="Calibri" w:eastAsia="Calibri" w:hAnsi="Calibri" w:cs="Calibri"/>
          <w:bCs/>
        </w:rPr>
      </w:pPr>
    </w:p>
    <w:p w14:paraId="5382EEEB" w14:textId="77777777" w:rsidR="00E41651" w:rsidRPr="00E675D7" w:rsidRDefault="00E41651" w:rsidP="00E41651">
      <w:pPr>
        <w:rPr>
          <w:rFonts w:ascii="Calibri" w:eastAsia="Calibri" w:hAnsi="Calibri" w:cs="Calibri"/>
          <w:b/>
          <w:bCs/>
        </w:rPr>
      </w:pPr>
      <w:r>
        <w:rPr>
          <w:rFonts w:ascii="Calibri" w:eastAsia="Calibri" w:hAnsi="Calibri" w:cs="Calibri"/>
          <w:bCs/>
        </w:rPr>
        <w:t xml:space="preserve">The </w:t>
      </w:r>
      <w:r w:rsidRPr="00E675D7">
        <w:rPr>
          <w:rFonts w:ascii="Calibri" w:eastAsia="Calibri" w:hAnsi="Calibri" w:cs="Calibri"/>
          <w:bCs/>
        </w:rPr>
        <w:t xml:space="preserve">examination of this </w:t>
      </w:r>
      <w:r>
        <w:rPr>
          <w:rFonts w:ascii="Calibri" w:eastAsia="Calibri" w:hAnsi="Calibri" w:cs="Calibri"/>
          <w:bCs/>
        </w:rPr>
        <w:t>A</w:t>
      </w:r>
      <w:r w:rsidRPr="00E675D7">
        <w:rPr>
          <w:rFonts w:ascii="Calibri" w:eastAsia="Calibri" w:hAnsi="Calibri" w:cs="Calibri"/>
          <w:bCs/>
        </w:rPr>
        <w:t xml:space="preserve">ct </w:t>
      </w:r>
      <w:r>
        <w:rPr>
          <w:rFonts w:ascii="Calibri" w:eastAsia="Calibri" w:hAnsi="Calibri" w:cs="Calibri"/>
          <w:bCs/>
        </w:rPr>
        <w:t xml:space="preserve">considered </w:t>
      </w:r>
      <w:r w:rsidRPr="00E675D7">
        <w:rPr>
          <w:rFonts w:ascii="Calibri" w:eastAsia="Calibri" w:hAnsi="Calibri" w:cs="Calibri"/>
          <w:bCs/>
        </w:rPr>
        <w:t xml:space="preserve">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611493A6" w14:textId="77777777" w:rsidR="00E41651" w:rsidRPr="00E675D7" w:rsidRDefault="00E41651" w:rsidP="00E41651">
      <w:pPr>
        <w:rPr>
          <w:rFonts w:ascii="Calibri" w:eastAsia="Calibri" w:hAnsi="Calibri" w:cs="Calibri"/>
          <w:b/>
          <w:bCs/>
        </w:rPr>
      </w:pPr>
    </w:p>
    <w:p w14:paraId="6D711ED2" w14:textId="77777777" w:rsidR="00E41651" w:rsidRPr="00E675D7" w:rsidRDefault="00E41651" w:rsidP="00E41651">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27B83E20" w14:textId="77777777" w:rsidR="00E41651" w:rsidRPr="00E675D7" w:rsidRDefault="00E41651" w:rsidP="00E41651">
      <w:pPr>
        <w:rPr>
          <w:rFonts w:ascii="Calibri" w:eastAsia="Calibri" w:hAnsi="Calibri" w:cs="Calibri"/>
          <w:bCs/>
        </w:rPr>
      </w:pPr>
    </w:p>
    <w:p w14:paraId="62341163" w14:textId="77777777" w:rsidR="00E41651" w:rsidRPr="00E675D7" w:rsidRDefault="00E41651" w:rsidP="00E41651">
      <w:pPr>
        <w:rPr>
          <w:rFonts w:ascii="Calibri" w:eastAsia="Calibri" w:hAnsi="Calibri" w:cs="Calibri"/>
          <w:bCs/>
        </w:rPr>
      </w:pPr>
      <w:r w:rsidRPr="00E675D7">
        <w:rPr>
          <w:rFonts w:ascii="Calibri" w:eastAsia="Calibri" w:hAnsi="Calibri" w:cs="Calibri"/>
          <w:bCs/>
        </w:rPr>
        <w:t xml:space="preserve">Alexis Sturm </w:t>
      </w:r>
    </w:p>
    <w:p w14:paraId="028BF2E9" w14:textId="77777777" w:rsidR="00E41651" w:rsidRPr="00E675D7" w:rsidRDefault="00E41651" w:rsidP="00E41651">
      <w:pPr>
        <w:rPr>
          <w:rFonts w:ascii="Calibri" w:eastAsia="Calibri" w:hAnsi="Calibri" w:cs="Calibri"/>
          <w:bCs/>
        </w:rPr>
      </w:pPr>
      <w:r w:rsidRPr="00E675D7">
        <w:rPr>
          <w:rFonts w:ascii="Calibri" w:eastAsia="Calibri" w:hAnsi="Calibri" w:cs="Calibri"/>
          <w:bCs/>
        </w:rPr>
        <w:t>Director</w:t>
      </w:r>
    </w:p>
    <w:p w14:paraId="4DF2965B" w14:textId="77777777" w:rsidR="00E41651" w:rsidRPr="00E675D7" w:rsidRDefault="00E41651" w:rsidP="00E41651">
      <w:pPr>
        <w:rPr>
          <w:rFonts w:ascii="Calibri" w:eastAsia="Calibri" w:hAnsi="Calibri" w:cs="Calibri"/>
          <w:bCs/>
        </w:rPr>
      </w:pPr>
      <w:r w:rsidRPr="00E675D7">
        <w:rPr>
          <w:rFonts w:ascii="Calibri" w:eastAsia="Calibri" w:hAnsi="Calibri" w:cs="Calibri"/>
          <w:bCs/>
        </w:rPr>
        <w:t xml:space="preserve">Governor’s Office of Management and Budget                                  </w:t>
      </w:r>
    </w:p>
    <w:p w14:paraId="6E7F065D" w14:textId="77777777" w:rsidR="00E41651" w:rsidRDefault="00E41651" w:rsidP="00E41651">
      <w:pPr>
        <w:rPr>
          <w:rFonts w:ascii="Calibri" w:eastAsia="Calibri" w:hAnsi="Calibri" w:cs="Calibri"/>
          <w:b/>
          <w:bCs/>
          <w:sz w:val="24"/>
          <w:szCs w:val="24"/>
        </w:rPr>
      </w:pPr>
    </w:p>
    <w:p w14:paraId="1A23FE72" w14:textId="77777777" w:rsidR="00E41651" w:rsidRDefault="00E41651" w:rsidP="00E41651">
      <w:pPr>
        <w:spacing w:before="1"/>
        <w:rPr>
          <w:rFonts w:ascii="Calibri" w:eastAsia="Calibri" w:hAnsi="Calibri" w:cs="Calibri"/>
          <w:bCs/>
        </w:rPr>
      </w:pPr>
    </w:p>
    <w:p w14:paraId="71E51B2D" w14:textId="77777777" w:rsidR="00E41651" w:rsidRDefault="00E41651" w:rsidP="00E41651">
      <w:pPr>
        <w:rPr>
          <w:rFonts w:ascii="Calibri" w:eastAsia="Calibri" w:hAnsi="Calibri" w:cs="Calibri"/>
          <w:b/>
          <w:bCs/>
          <w:sz w:val="24"/>
          <w:szCs w:val="24"/>
        </w:rPr>
      </w:pPr>
    </w:p>
    <w:p w14:paraId="7D507D4A" w14:textId="77777777" w:rsidR="00E41651" w:rsidRDefault="00E41651" w:rsidP="00E41651">
      <w:pPr>
        <w:spacing w:before="1"/>
        <w:rPr>
          <w:rFonts w:ascii="Calibri" w:eastAsia="Calibri" w:hAnsi="Calibri" w:cs="Calibri"/>
          <w:b/>
          <w:bCs/>
          <w:sz w:val="24"/>
          <w:szCs w:val="24"/>
        </w:rPr>
      </w:pPr>
    </w:p>
    <w:p w14:paraId="13E3681C" w14:textId="77777777" w:rsidR="00E41651" w:rsidRDefault="00E41651" w:rsidP="00E41651">
      <w:pPr>
        <w:spacing w:before="1"/>
        <w:rPr>
          <w:rFonts w:ascii="Calibri" w:eastAsia="Calibri" w:hAnsi="Calibri" w:cs="Calibri"/>
          <w:b/>
          <w:bCs/>
          <w:sz w:val="24"/>
          <w:szCs w:val="24"/>
        </w:rPr>
        <w:sectPr w:rsidR="00E41651">
          <w:footerReference w:type="default" r:id="rId8"/>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161DC720" w14:textId="77777777" w:rsidR="00E41651" w:rsidRPr="00380377" w:rsidRDefault="00E41651" w:rsidP="00E41651">
      <w:pPr>
        <w:spacing w:before="1"/>
        <w:rPr>
          <w:b/>
          <w:i/>
        </w:rPr>
      </w:pPr>
      <w:r w:rsidRPr="00380377">
        <w:rPr>
          <w:b/>
          <w:i/>
        </w:rPr>
        <w:lastRenderedPageBreak/>
        <w:t xml:space="preserve">Criteria (1) “The extent to which the agency or program has permitted qualified applicants to serve the public.” </w:t>
      </w:r>
    </w:p>
    <w:p w14:paraId="0F6CDF02" w14:textId="77777777" w:rsidR="00E41651" w:rsidRDefault="00E41651" w:rsidP="00E41651">
      <w:pPr>
        <w:spacing w:before="1"/>
        <w:rPr>
          <w:i/>
        </w:rPr>
      </w:pPr>
    </w:p>
    <w:p w14:paraId="5EB41509" w14:textId="77777777" w:rsidR="00E41651" w:rsidRDefault="00E77288" w:rsidP="00E41651">
      <w:pPr>
        <w:spacing w:before="1"/>
      </w:pPr>
      <w:r>
        <w:t xml:space="preserve">As of </w:t>
      </w:r>
      <w:proofErr w:type="gramStart"/>
      <w:r w:rsidR="00F21B69">
        <w:t>July,</w:t>
      </w:r>
      <w:proofErr w:type="gramEnd"/>
      <w:r>
        <w:t xml:space="preserve"> 2020 t</w:t>
      </w:r>
      <w:r w:rsidRPr="00E77288">
        <w:t>here are currently less than 1000 active credentials.</w:t>
      </w:r>
      <w:r>
        <w:t xml:space="preserve"> </w:t>
      </w:r>
      <w:r w:rsidRPr="00E77288">
        <w:t xml:space="preserve">Because a license is not required to practice residential interior design, all Illinoisans are qualified to practice interior design. It is unknown how many people are currently practicing interior design without registering with the Department. There have been 4094 applications for an interior design credential since July 1, 1991. </w:t>
      </w:r>
    </w:p>
    <w:p w14:paraId="3D97D4C9" w14:textId="77777777" w:rsidR="00E77288" w:rsidRDefault="00E77288" w:rsidP="00E41651">
      <w:pPr>
        <w:spacing w:before="1"/>
      </w:pPr>
    </w:p>
    <w:tbl>
      <w:tblPr>
        <w:tblStyle w:val="TableGrid"/>
        <w:tblW w:w="0" w:type="auto"/>
        <w:jc w:val="center"/>
        <w:tblLook w:val="04A0" w:firstRow="1" w:lastRow="0" w:firstColumn="1" w:lastColumn="0" w:noHBand="0" w:noVBand="1"/>
      </w:tblPr>
      <w:tblGrid>
        <w:gridCol w:w="3955"/>
        <w:gridCol w:w="972"/>
        <w:gridCol w:w="972"/>
        <w:gridCol w:w="972"/>
        <w:gridCol w:w="972"/>
        <w:gridCol w:w="972"/>
      </w:tblGrid>
      <w:tr w:rsidR="00E41651" w14:paraId="72B29C36" w14:textId="77777777" w:rsidTr="003A1F15">
        <w:trPr>
          <w:jc w:val="center"/>
        </w:trPr>
        <w:tc>
          <w:tcPr>
            <w:tcW w:w="39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AE6AF" w14:textId="77777777" w:rsidR="00E41651" w:rsidRPr="006E6003" w:rsidRDefault="00E41651" w:rsidP="003A1F15">
            <w:pPr>
              <w:spacing w:before="1"/>
              <w:rPr>
                <w:b/>
              </w:rPr>
            </w:pPr>
            <w:r w:rsidRPr="006E6003">
              <w:rPr>
                <w:b/>
              </w:rPr>
              <w:t>License Type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07BDF" w14:textId="77777777" w:rsidR="00E41651" w:rsidRPr="006E6003" w:rsidRDefault="00E41651" w:rsidP="003A1F15">
            <w:pPr>
              <w:spacing w:before="1"/>
              <w:jc w:val="center"/>
              <w:rPr>
                <w:b/>
              </w:rPr>
            </w:pPr>
            <w:r w:rsidRPr="006E6003">
              <w:rPr>
                <w:b/>
              </w:rPr>
              <w:t>201</w:t>
            </w:r>
            <w:r w:rsidR="00F21B69">
              <w:rPr>
                <w:b/>
              </w:rPr>
              <w:t>6</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D11F8" w14:textId="77777777" w:rsidR="00E41651" w:rsidRPr="006E6003" w:rsidRDefault="00E41651" w:rsidP="003A1F15">
            <w:pPr>
              <w:spacing w:before="1"/>
              <w:jc w:val="center"/>
              <w:rPr>
                <w:b/>
              </w:rPr>
            </w:pPr>
            <w:r w:rsidRPr="006E6003">
              <w:rPr>
                <w:b/>
              </w:rPr>
              <w:t>201</w:t>
            </w:r>
            <w:r w:rsidR="00F21B69">
              <w:rPr>
                <w:b/>
              </w:rPr>
              <w:t>7</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74FF3" w14:textId="77777777" w:rsidR="00E41651" w:rsidRPr="006E6003" w:rsidRDefault="00E41651" w:rsidP="003A1F15">
            <w:pPr>
              <w:spacing w:before="1"/>
              <w:jc w:val="center"/>
              <w:rPr>
                <w:b/>
              </w:rPr>
            </w:pPr>
            <w:r w:rsidRPr="006E6003">
              <w:rPr>
                <w:b/>
              </w:rPr>
              <w:t>201</w:t>
            </w:r>
            <w:r w:rsidR="00F21B69">
              <w:rPr>
                <w:b/>
              </w:rPr>
              <w:t>8</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31CF5" w14:textId="77777777" w:rsidR="00E41651" w:rsidRPr="006E6003" w:rsidRDefault="00E41651" w:rsidP="003A1F15">
            <w:pPr>
              <w:spacing w:before="1"/>
              <w:jc w:val="center"/>
              <w:rPr>
                <w:b/>
              </w:rPr>
            </w:pPr>
            <w:r w:rsidRPr="006E6003">
              <w:rPr>
                <w:b/>
              </w:rPr>
              <w:t>201</w:t>
            </w:r>
            <w:r w:rsidR="00F21B69">
              <w:rPr>
                <w:b/>
              </w:rPr>
              <w:t>9</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8AAA43" w14:textId="77777777" w:rsidR="00E41651" w:rsidRPr="006E6003" w:rsidRDefault="00E41651" w:rsidP="003A1F15">
            <w:pPr>
              <w:spacing w:before="1"/>
              <w:jc w:val="center"/>
              <w:rPr>
                <w:b/>
              </w:rPr>
            </w:pPr>
            <w:r w:rsidRPr="006E6003">
              <w:rPr>
                <w:b/>
              </w:rPr>
              <w:t>20</w:t>
            </w:r>
            <w:r w:rsidR="00F21B69">
              <w:rPr>
                <w:b/>
              </w:rPr>
              <w:t>20</w:t>
            </w:r>
          </w:p>
        </w:tc>
      </w:tr>
      <w:tr w:rsidR="00E41651" w14:paraId="22216D51" w14:textId="77777777" w:rsidTr="003A1F15">
        <w:trPr>
          <w:jc w:val="center"/>
        </w:trPr>
        <w:tc>
          <w:tcPr>
            <w:tcW w:w="3955" w:type="dxa"/>
            <w:tcBorders>
              <w:top w:val="single" w:sz="4" w:space="0" w:color="auto"/>
            </w:tcBorders>
            <w:vAlign w:val="center"/>
          </w:tcPr>
          <w:p w14:paraId="491FB595" w14:textId="77777777" w:rsidR="00E41651" w:rsidRPr="006E6003" w:rsidRDefault="00E77288" w:rsidP="003A1F15">
            <w:pPr>
              <w:rPr>
                <w:rFonts w:ascii="Calibri" w:eastAsia="Times New Roman" w:hAnsi="Calibri" w:cs="Calibri"/>
                <w:color w:val="000000"/>
              </w:rPr>
            </w:pPr>
            <w:r>
              <w:rPr>
                <w:rFonts w:ascii="Calibri" w:eastAsia="Times New Roman" w:hAnsi="Calibri" w:cs="Calibri"/>
                <w:color w:val="000000"/>
              </w:rPr>
              <w:t>Interior Design</w:t>
            </w:r>
          </w:p>
        </w:tc>
        <w:tc>
          <w:tcPr>
            <w:tcW w:w="972" w:type="dxa"/>
            <w:tcBorders>
              <w:top w:val="single" w:sz="4" w:space="0" w:color="auto"/>
            </w:tcBorders>
            <w:vAlign w:val="center"/>
          </w:tcPr>
          <w:p w14:paraId="6085F99B" w14:textId="77777777" w:rsidR="00E41651" w:rsidRPr="006E6003" w:rsidRDefault="00F21B69" w:rsidP="003A1F15">
            <w:pPr>
              <w:spacing w:before="1"/>
              <w:jc w:val="center"/>
            </w:pPr>
            <w:r>
              <w:rPr>
                <w:rFonts w:ascii="Calibri" w:eastAsia="Times New Roman" w:hAnsi="Calibri" w:cs="Calibri"/>
                <w:color w:val="000000"/>
              </w:rPr>
              <w:t>1259</w:t>
            </w:r>
          </w:p>
        </w:tc>
        <w:tc>
          <w:tcPr>
            <w:tcW w:w="972" w:type="dxa"/>
            <w:tcBorders>
              <w:top w:val="single" w:sz="4" w:space="0" w:color="auto"/>
            </w:tcBorders>
            <w:vAlign w:val="center"/>
          </w:tcPr>
          <w:p w14:paraId="0EC59F68" w14:textId="77777777" w:rsidR="00E41651" w:rsidRPr="006E6003" w:rsidRDefault="00F21B69" w:rsidP="003A1F15">
            <w:pPr>
              <w:spacing w:before="1"/>
              <w:jc w:val="center"/>
            </w:pPr>
            <w:r>
              <w:rPr>
                <w:rFonts w:ascii="Calibri" w:eastAsia="Times New Roman" w:hAnsi="Calibri" w:cs="Calibri"/>
                <w:color w:val="000000"/>
              </w:rPr>
              <w:t>1278</w:t>
            </w:r>
          </w:p>
        </w:tc>
        <w:tc>
          <w:tcPr>
            <w:tcW w:w="972" w:type="dxa"/>
            <w:tcBorders>
              <w:top w:val="single" w:sz="4" w:space="0" w:color="auto"/>
            </w:tcBorders>
            <w:vAlign w:val="center"/>
          </w:tcPr>
          <w:p w14:paraId="4E810211" w14:textId="77777777" w:rsidR="00E41651" w:rsidRPr="006E6003" w:rsidRDefault="00F21B69" w:rsidP="003A1F15">
            <w:pPr>
              <w:spacing w:before="1"/>
              <w:jc w:val="center"/>
            </w:pPr>
            <w:r>
              <w:t>1064</w:t>
            </w:r>
          </w:p>
        </w:tc>
        <w:tc>
          <w:tcPr>
            <w:tcW w:w="972" w:type="dxa"/>
            <w:tcBorders>
              <w:top w:val="single" w:sz="4" w:space="0" w:color="auto"/>
            </w:tcBorders>
            <w:vAlign w:val="center"/>
          </w:tcPr>
          <w:p w14:paraId="4639233D" w14:textId="77777777" w:rsidR="00E41651" w:rsidRPr="006E6003" w:rsidRDefault="00F21B69" w:rsidP="003A1F15">
            <w:pPr>
              <w:spacing w:before="1"/>
              <w:jc w:val="center"/>
            </w:pPr>
            <w:r>
              <w:t>1087</w:t>
            </w:r>
          </w:p>
        </w:tc>
        <w:tc>
          <w:tcPr>
            <w:tcW w:w="972" w:type="dxa"/>
            <w:tcBorders>
              <w:top w:val="single" w:sz="4" w:space="0" w:color="auto"/>
            </w:tcBorders>
            <w:vAlign w:val="center"/>
          </w:tcPr>
          <w:p w14:paraId="1909A591" w14:textId="77777777" w:rsidR="00E41651" w:rsidRPr="006E6003" w:rsidRDefault="00F21B69" w:rsidP="003A1F15">
            <w:pPr>
              <w:spacing w:before="1"/>
              <w:jc w:val="center"/>
            </w:pPr>
            <w:r>
              <w:rPr>
                <w:rFonts w:ascii="Calibri" w:eastAsia="Times New Roman" w:hAnsi="Calibri" w:cs="Calibri"/>
                <w:color w:val="000000"/>
              </w:rPr>
              <w:t>953</w:t>
            </w:r>
          </w:p>
        </w:tc>
      </w:tr>
    </w:tbl>
    <w:p w14:paraId="776B7465" w14:textId="77777777" w:rsidR="00F21B69" w:rsidRDefault="00F21B69" w:rsidP="00E41651">
      <w:pPr>
        <w:spacing w:before="1"/>
      </w:pPr>
    </w:p>
    <w:p w14:paraId="705D3AD4" w14:textId="77777777" w:rsidR="00F21B69" w:rsidRDefault="00F21B69" w:rsidP="00E41651">
      <w:pPr>
        <w:spacing w:before="1"/>
      </w:pPr>
    </w:p>
    <w:p w14:paraId="43A6C5D6" w14:textId="77777777" w:rsidR="00E41651" w:rsidRDefault="00E41651" w:rsidP="00E41651">
      <w:pPr>
        <w:spacing w:before="1"/>
      </w:pPr>
      <w:r>
        <w:t>The current licensure fee scheme is as follows:</w:t>
      </w:r>
    </w:p>
    <w:p w14:paraId="70006F17" w14:textId="77777777" w:rsidR="00E41651" w:rsidRDefault="00E41651" w:rsidP="00E41651">
      <w:pPr>
        <w:spacing w:before="1"/>
      </w:pPr>
    </w:p>
    <w:tbl>
      <w:tblPr>
        <w:tblStyle w:val="TableGrid"/>
        <w:tblW w:w="0" w:type="auto"/>
        <w:tblLook w:val="04A0" w:firstRow="1" w:lastRow="0" w:firstColumn="1" w:lastColumn="0" w:noHBand="0" w:noVBand="1"/>
      </w:tblPr>
      <w:tblGrid>
        <w:gridCol w:w="5126"/>
        <w:gridCol w:w="5124"/>
      </w:tblGrid>
      <w:tr w:rsidR="00E41651" w14:paraId="40B06DC1" w14:textId="77777777" w:rsidTr="003A1F15">
        <w:tc>
          <w:tcPr>
            <w:tcW w:w="5126" w:type="dxa"/>
            <w:tcBorders>
              <w:top w:val="single" w:sz="12" w:space="0" w:color="auto"/>
              <w:left w:val="single" w:sz="12" w:space="0" w:color="auto"/>
              <w:bottom w:val="single" w:sz="12" w:space="0" w:color="auto"/>
              <w:right w:val="single" w:sz="12" w:space="0" w:color="auto"/>
            </w:tcBorders>
          </w:tcPr>
          <w:p w14:paraId="5BB2C914" w14:textId="77777777" w:rsidR="00E41651" w:rsidRPr="00380377" w:rsidRDefault="00E41651" w:rsidP="003A1F15">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74D8EAB1" w14:textId="77777777" w:rsidR="00E41651" w:rsidRPr="00380377" w:rsidRDefault="00E41651" w:rsidP="003A1F15">
            <w:pPr>
              <w:jc w:val="center"/>
              <w:rPr>
                <w:b/>
              </w:rPr>
            </w:pPr>
            <w:r w:rsidRPr="00380377">
              <w:rPr>
                <w:b/>
              </w:rPr>
              <w:t>Fee Amount</w:t>
            </w:r>
          </w:p>
        </w:tc>
      </w:tr>
      <w:tr w:rsidR="00E41651" w14:paraId="55B8A983" w14:textId="77777777" w:rsidTr="003A1F15">
        <w:tc>
          <w:tcPr>
            <w:tcW w:w="5126" w:type="dxa"/>
            <w:tcBorders>
              <w:top w:val="single" w:sz="12" w:space="0" w:color="auto"/>
            </w:tcBorders>
          </w:tcPr>
          <w:p w14:paraId="4B6F5CDB" w14:textId="77777777" w:rsidR="00E41651" w:rsidRDefault="004F3462" w:rsidP="003A1F15">
            <w:r>
              <w:t>License</w:t>
            </w:r>
            <w:r w:rsidR="00E41651">
              <w:t xml:space="preserve"> Application fee</w:t>
            </w:r>
          </w:p>
        </w:tc>
        <w:tc>
          <w:tcPr>
            <w:tcW w:w="5124" w:type="dxa"/>
            <w:tcBorders>
              <w:top w:val="single" w:sz="12" w:space="0" w:color="auto"/>
            </w:tcBorders>
            <w:vAlign w:val="center"/>
          </w:tcPr>
          <w:p w14:paraId="0A4A0BF0" w14:textId="77777777" w:rsidR="00E41651" w:rsidRDefault="00E41651" w:rsidP="003A1F15">
            <w:pPr>
              <w:jc w:val="center"/>
            </w:pPr>
            <w:r>
              <w:t>$100</w:t>
            </w:r>
          </w:p>
        </w:tc>
      </w:tr>
      <w:tr w:rsidR="00E41651" w14:paraId="0FDABB85" w14:textId="77777777" w:rsidTr="003A1F15">
        <w:tc>
          <w:tcPr>
            <w:tcW w:w="5126" w:type="dxa"/>
          </w:tcPr>
          <w:p w14:paraId="284BF0B1" w14:textId="77777777" w:rsidR="00E41651" w:rsidRDefault="004F3462" w:rsidP="003A1F15">
            <w:r>
              <w:t>Renewal fee</w:t>
            </w:r>
          </w:p>
        </w:tc>
        <w:tc>
          <w:tcPr>
            <w:tcW w:w="5124" w:type="dxa"/>
            <w:vAlign w:val="center"/>
          </w:tcPr>
          <w:p w14:paraId="045D7193" w14:textId="77777777" w:rsidR="00E41651" w:rsidRDefault="00E41651" w:rsidP="003A1F15">
            <w:pPr>
              <w:jc w:val="center"/>
            </w:pPr>
            <w:r>
              <w:t>$</w:t>
            </w:r>
            <w:r w:rsidR="004F3462">
              <w:t>30</w:t>
            </w:r>
          </w:p>
        </w:tc>
      </w:tr>
      <w:tr w:rsidR="00E41651" w14:paraId="3BDE398A" w14:textId="77777777" w:rsidTr="003A1F15">
        <w:tc>
          <w:tcPr>
            <w:tcW w:w="5126" w:type="dxa"/>
          </w:tcPr>
          <w:p w14:paraId="555889BF" w14:textId="77777777" w:rsidR="00E41651" w:rsidRDefault="004F3462" w:rsidP="003A1F15">
            <w:r w:rsidRPr="008962EF">
              <w:rPr>
                <w:rFonts w:cstheme="minorHAnsi"/>
              </w:rPr>
              <w:t>Restoration fee for a license</w:t>
            </w:r>
          </w:p>
        </w:tc>
        <w:tc>
          <w:tcPr>
            <w:tcW w:w="5124" w:type="dxa"/>
            <w:vAlign w:val="center"/>
          </w:tcPr>
          <w:p w14:paraId="40A95993" w14:textId="77777777" w:rsidR="00E41651" w:rsidRDefault="004F3462" w:rsidP="003A1F15">
            <w:pPr>
              <w:jc w:val="center"/>
            </w:pPr>
            <w:r w:rsidRPr="004F3462">
              <w:t>$50 plus payment of all lapsed renewal fees, but not to exceed $230</w:t>
            </w:r>
          </w:p>
        </w:tc>
      </w:tr>
      <w:tr w:rsidR="00E41651" w14:paraId="4A1C83BC" w14:textId="77777777" w:rsidTr="003A1F15">
        <w:tc>
          <w:tcPr>
            <w:tcW w:w="5126" w:type="dxa"/>
          </w:tcPr>
          <w:p w14:paraId="57523481" w14:textId="77777777" w:rsidR="00E41651" w:rsidRDefault="004F3462" w:rsidP="003A1F15">
            <w:r w:rsidRPr="008962EF">
              <w:rPr>
                <w:rFonts w:cstheme="minorHAnsi"/>
              </w:rPr>
              <w:t>Restoration fee after 5 years</w:t>
            </w:r>
          </w:p>
        </w:tc>
        <w:tc>
          <w:tcPr>
            <w:tcW w:w="5124" w:type="dxa"/>
            <w:vAlign w:val="center"/>
          </w:tcPr>
          <w:p w14:paraId="07B51CBF" w14:textId="77777777" w:rsidR="00E41651" w:rsidRDefault="004F3462" w:rsidP="003A1F15">
            <w:pPr>
              <w:jc w:val="center"/>
            </w:pPr>
            <w:r w:rsidRPr="004F3462">
              <w:t>$50 plus payment of all lapsed renewal fees, but not to exceed $230</w:t>
            </w:r>
          </w:p>
        </w:tc>
      </w:tr>
      <w:tr w:rsidR="00E41651" w14:paraId="4E5FBB19" w14:textId="77777777" w:rsidTr="003A1F15">
        <w:tc>
          <w:tcPr>
            <w:tcW w:w="5126" w:type="dxa"/>
          </w:tcPr>
          <w:p w14:paraId="42F68D8D" w14:textId="77777777" w:rsidR="00E41651" w:rsidRDefault="004F3462" w:rsidP="003A1F15">
            <w:r>
              <w:t>Duplicate License</w:t>
            </w:r>
          </w:p>
        </w:tc>
        <w:tc>
          <w:tcPr>
            <w:tcW w:w="5124" w:type="dxa"/>
            <w:vAlign w:val="center"/>
          </w:tcPr>
          <w:p w14:paraId="07A1344A" w14:textId="77777777" w:rsidR="00E41651" w:rsidRDefault="00E41651" w:rsidP="003A1F15">
            <w:pPr>
              <w:jc w:val="center"/>
            </w:pPr>
            <w:r>
              <w:t>$</w:t>
            </w:r>
            <w:r w:rsidR="005C77EF">
              <w:t>20</w:t>
            </w:r>
          </w:p>
        </w:tc>
      </w:tr>
      <w:tr w:rsidR="00E41651" w14:paraId="54C4C5DE" w14:textId="77777777" w:rsidTr="003A1F15">
        <w:tc>
          <w:tcPr>
            <w:tcW w:w="5126" w:type="dxa"/>
          </w:tcPr>
          <w:p w14:paraId="49997B1C" w14:textId="77777777" w:rsidR="00E41651" w:rsidRPr="006D57A9" w:rsidRDefault="005C77EF" w:rsidP="003A1F15">
            <w:r w:rsidRPr="008962EF">
              <w:rPr>
                <w:rFonts w:cstheme="minorHAnsi"/>
              </w:rPr>
              <w:t>Certification of a license</w:t>
            </w:r>
          </w:p>
        </w:tc>
        <w:tc>
          <w:tcPr>
            <w:tcW w:w="5124" w:type="dxa"/>
            <w:vAlign w:val="center"/>
          </w:tcPr>
          <w:p w14:paraId="2014B086" w14:textId="77777777" w:rsidR="00E41651" w:rsidRDefault="00E41651" w:rsidP="003A1F15">
            <w:pPr>
              <w:jc w:val="center"/>
            </w:pPr>
            <w:r>
              <w:t>$</w:t>
            </w:r>
            <w:r w:rsidR="005C77EF">
              <w:t>20</w:t>
            </w:r>
          </w:p>
        </w:tc>
      </w:tr>
    </w:tbl>
    <w:p w14:paraId="1BE7B08A" w14:textId="77777777" w:rsidR="004F3462" w:rsidRDefault="004F3462" w:rsidP="00E41651"/>
    <w:p w14:paraId="226C5E46" w14:textId="77777777" w:rsidR="00E41651" w:rsidRDefault="00A260AE" w:rsidP="00E41651">
      <w:r w:rsidRPr="00A260AE">
        <w:t>No U.S. state requires licensure for residential interior design. Three states, Washington D.C., and Puerto Rico require registration for unsupervised interior design work in commercial spaces, but unregistered interior designers are still allowed to work under an architect or engineer.</w:t>
      </w:r>
    </w:p>
    <w:p w14:paraId="3269697D" w14:textId="77777777" w:rsidR="00E41651" w:rsidRDefault="00E41651" w:rsidP="00E41651">
      <w:pPr>
        <w:spacing w:before="1"/>
        <w:rPr>
          <w:b/>
          <w:i/>
        </w:rPr>
      </w:pPr>
    </w:p>
    <w:p w14:paraId="1100B3E2" w14:textId="77777777" w:rsidR="00E41651" w:rsidRPr="00380377" w:rsidRDefault="00E41651" w:rsidP="00E41651">
      <w:pPr>
        <w:spacing w:before="1"/>
        <w:rPr>
          <w:b/>
          <w:i/>
        </w:rPr>
      </w:pPr>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6301A5EA" w14:textId="77777777" w:rsidR="00E41651" w:rsidRDefault="00E41651" w:rsidP="00E41651">
      <w:pPr>
        <w:spacing w:before="1"/>
        <w:rPr>
          <w:i/>
        </w:rPr>
      </w:pPr>
    </w:p>
    <w:p w14:paraId="5146E06B" w14:textId="77777777" w:rsidR="00E41651" w:rsidRDefault="00E41651" w:rsidP="00E41651">
      <w:r>
        <w:t>IDFPR</w:t>
      </w:r>
      <w:r w:rsidRPr="00A20A63">
        <w:t xml:space="preserve"> adheres to strict guidelines and requirements established for each profession regulated by the Department. Licensing decisions are based on an applicant’s ability to meet the requirements established by statute and administrative rule.  </w:t>
      </w:r>
      <w:r>
        <w:t>Neither r</w:t>
      </w:r>
      <w:r w:rsidRPr="00A20A63">
        <w:t xml:space="preserve">ace nor any other identifier is a consideration for licensure under any of the professional licenses regulated by the Department. </w:t>
      </w:r>
      <w:r>
        <w:t>Consequently</w:t>
      </w:r>
      <w:r w:rsidRPr="00A20A63">
        <w:t xml:space="preserve">, the Department does not collect information from applicants to disclose their race or other social identifiers that could potentially lead to the act or perception of discrimination in licensing decisions. </w:t>
      </w:r>
    </w:p>
    <w:p w14:paraId="271C3D9E" w14:textId="77777777" w:rsidR="00E41651" w:rsidRPr="00A20A63" w:rsidRDefault="00E41651" w:rsidP="00E41651"/>
    <w:p w14:paraId="01749A96" w14:textId="77777777" w:rsidR="00E41651" w:rsidRDefault="00E41651" w:rsidP="00E41651"/>
    <w:p w14:paraId="715B2B34" w14:textId="77777777" w:rsidR="00E41651" w:rsidRPr="00380377" w:rsidRDefault="00E41651" w:rsidP="00E41651">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51956B5E" w14:textId="77777777" w:rsidR="00E41651" w:rsidRDefault="00E41651" w:rsidP="00E41651">
      <w:pPr>
        <w:spacing w:before="1"/>
        <w:rPr>
          <w:i/>
        </w:rPr>
      </w:pPr>
    </w:p>
    <w:p w14:paraId="6C44D5BB" w14:textId="77777777" w:rsidR="00E41651" w:rsidRDefault="00E41651" w:rsidP="00E41651">
      <w:r w:rsidRPr="003572B7">
        <w:t xml:space="preserve">IDFPR is tasked with processing applications for licenses and renewal licenses for over 1 million professionals practicing in the state of Illinois. As resources continue to be strained in the state of Illinois, the Department has adopted internal policies, sought legislative and administrative rule changes, and developed </w:t>
      </w:r>
      <w:r>
        <w:t xml:space="preserve">enhanced </w:t>
      </w:r>
      <w:r w:rsidRPr="003572B7">
        <w:t>licensing processes to maintain efficiency and e</w:t>
      </w:r>
      <w:r>
        <w:t>ff</w:t>
      </w:r>
      <w:r w:rsidRPr="003572B7">
        <w:t xml:space="preserve">icacy. Though these changes have proved to be successful, there is no substitute for the labor resources needed to maintain and improve licensing efficiencies. Over the last calendar </w:t>
      </w:r>
      <w:r w:rsidRPr="003572B7">
        <w:lastRenderedPageBreak/>
        <w:t>year, IDFPR com</w:t>
      </w:r>
      <w:r>
        <w:t xml:space="preserve">pleted 80 new hires. However, </w:t>
      </w:r>
      <w:proofErr w:type="gramStart"/>
      <w:r>
        <w:t>in spite of</w:t>
      </w:r>
      <w:proofErr w:type="gramEnd"/>
      <w:r>
        <w:t xml:space="preserve"> the new hires, the agency ended the </w:t>
      </w:r>
      <w:r w:rsidRPr="003572B7">
        <w:t xml:space="preserve">year with a </w:t>
      </w:r>
      <w:r>
        <w:t>net decrease in headcount. The agency maintains that p</w:t>
      </w:r>
      <w:r w:rsidRPr="003572B7">
        <w:t xml:space="preserve">ersonnel rules and laws often make it difficult to fill vacant positions </w:t>
      </w:r>
      <w:r>
        <w:t>in a timely manner</w:t>
      </w:r>
      <w:r w:rsidRPr="003572B7">
        <w:t xml:space="preserve">. </w:t>
      </w:r>
    </w:p>
    <w:p w14:paraId="27C845F2" w14:textId="77777777" w:rsidR="00E41651" w:rsidRDefault="00E41651" w:rsidP="00E41651"/>
    <w:p w14:paraId="493014AE" w14:textId="77777777" w:rsidR="00E41651" w:rsidRDefault="00E41651" w:rsidP="00E41651">
      <w:pPr>
        <w:rPr>
          <w:b/>
          <w:i/>
        </w:rPr>
      </w:pPr>
    </w:p>
    <w:p w14:paraId="549620CA" w14:textId="77777777" w:rsidR="00E41651" w:rsidRPr="00380377" w:rsidRDefault="00E41651" w:rsidP="00E41651">
      <w:pPr>
        <w:rPr>
          <w:b/>
          <w:i/>
        </w:rPr>
      </w:pPr>
      <w:r w:rsidRPr="00380377">
        <w:rPr>
          <w:b/>
          <w:i/>
        </w:rPr>
        <w:t>Criteria (4) “The extent to which the agency running the program has recommended statutory changes to the General Assembly that would benefit the public as opposed to the persons it regulates.”</w:t>
      </w:r>
    </w:p>
    <w:p w14:paraId="1E74CD76" w14:textId="77777777" w:rsidR="00E41651" w:rsidRDefault="00E41651" w:rsidP="00E41651"/>
    <w:p w14:paraId="01FAE6D0" w14:textId="77777777" w:rsidR="00824A60" w:rsidRPr="00824A60" w:rsidRDefault="00824A60" w:rsidP="00824A60">
      <w:r w:rsidRPr="00824A60">
        <w:t>Public Act 100-0920 (effective 8/17/2018) updated the Act by narrowing the scope of the title protection and adding more grounds for discipline.</w:t>
      </w:r>
    </w:p>
    <w:p w14:paraId="11755CDB" w14:textId="77777777" w:rsidR="00824A60" w:rsidRPr="00F4306B" w:rsidRDefault="00824A60" w:rsidP="00E41651"/>
    <w:p w14:paraId="5E78063D" w14:textId="77777777" w:rsidR="00E41651" w:rsidRDefault="00E41651" w:rsidP="00E41651"/>
    <w:p w14:paraId="3D944A58" w14:textId="77777777" w:rsidR="00E41651" w:rsidRPr="00380377" w:rsidRDefault="00E41651" w:rsidP="00E41651">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7CF4F94B" w14:textId="77777777" w:rsidR="00E41651" w:rsidRPr="00F7075F" w:rsidRDefault="00E41651" w:rsidP="00E41651">
      <w:pPr>
        <w:rPr>
          <w:i/>
        </w:rPr>
      </w:pPr>
    </w:p>
    <w:p w14:paraId="5D0C9E97" w14:textId="77777777" w:rsidR="000156C2" w:rsidRDefault="000156C2" w:rsidP="000156C2">
      <w:r>
        <w:t>The Interior Design Board is consulted in rulemaking and decision-making processes.</w:t>
      </w:r>
      <w:r w:rsidR="00824A60">
        <w:t xml:space="preserve"> </w:t>
      </w:r>
      <w:r>
        <w:t xml:space="preserve">The Department adheres to the guidelines and requirements established by the Joint Committee on Administrative Rules (JCAR), the administrative body responsible for approving rule proposals by state agencies. This process allows for the input from industry and community stakeholders impacted by the Department’s proposed changes. </w:t>
      </w:r>
    </w:p>
    <w:p w14:paraId="482CF9DF" w14:textId="77777777" w:rsidR="00E41651" w:rsidRDefault="00E41651" w:rsidP="00E41651"/>
    <w:p w14:paraId="007AB2E3" w14:textId="77777777" w:rsidR="00E41651" w:rsidRDefault="00E41651" w:rsidP="00E41651"/>
    <w:p w14:paraId="7E2D5DE4" w14:textId="77777777" w:rsidR="00E41651" w:rsidRPr="00380377" w:rsidRDefault="00E41651" w:rsidP="00E41651">
      <w:pPr>
        <w:rPr>
          <w:b/>
          <w:i/>
        </w:rPr>
      </w:pPr>
      <w:r w:rsidRPr="00380377">
        <w:rPr>
          <w:b/>
          <w:i/>
        </w:rPr>
        <w:t>Criteria (6) “The extent to which persons regulated by the agency or under the program have been required to assess the problems in their industry that affect the public.”</w:t>
      </w:r>
    </w:p>
    <w:p w14:paraId="2D77F335" w14:textId="77777777" w:rsidR="00E41651" w:rsidRPr="00F7075F" w:rsidRDefault="00E41651" w:rsidP="00E41651">
      <w:pPr>
        <w:rPr>
          <w:i/>
        </w:rPr>
      </w:pPr>
    </w:p>
    <w:p w14:paraId="6DBA158A" w14:textId="77777777" w:rsidR="00E41651" w:rsidRPr="00F4306B" w:rsidRDefault="00824A60" w:rsidP="00E41651">
      <w:r>
        <w:t>None.</w:t>
      </w:r>
    </w:p>
    <w:p w14:paraId="16D92E72" w14:textId="77777777" w:rsidR="00E41651" w:rsidRDefault="00E41651" w:rsidP="00E41651"/>
    <w:p w14:paraId="24D780B1" w14:textId="77777777" w:rsidR="00E41651" w:rsidRDefault="00E41651" w:rsidP="00E41651"/>
    <w:p w14:paraId="7A70BF65" w14:textId="77777777" w:rsidR="00E41651" w:rsidRPr="00380377" w:rsidRDefault="00E41651" w:rsidP="00E41651">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526B6F44" w14:textId="77777777" w:rsidR="00E41651" w:rsidRPr="00F7075F" w:rsidRDefault="00E41651" w:rsidP="00E41651">
      <w:pPr>
        <w:rPr>
          <w:i/>
        </w:rPr>
      </w:pPr>
    </w:p>
    <w:p w14:paraId="7E985AFE" w14:textId="77777777" w:rsidR="000156C2" w:rsidRDefault="000156C2" w:rsidP="00E41651">
      <w:r w:rsidRPr="000156C2">
        <w:t>The Department works with lawmakers, community stakeholders, and members of industry to ensure that the proper regulatory approach is employed to best protect the citizens of Illinois.</w:t>
      </w:r>
    </w:p>
    <w:p w14:paraId="35E7B391" w14:textId="77777777" w:rsidR="000156C2" w:rsidRDefault="000156C2" w:rsidP="00E41651"/>
    <w:p w14:paraId="14E08DBB" w14:textId="77777777" w:rsidR="00E41651" w:rsidRPr="00F4306B" w:rsidRDefault="00E41651" w:rsidP="00E41651">
      <w:r>
        <w:t>IDFPR</w:t>
      </w:r>
      <w:r w:rsidRPr="00F4306B">
        <w:t xml:space="preserve"> adheres to the guidelines and requirements established by the Joint </w:t>
      </w:r>
      <w:r>
        <w:t>C</w:t>
      </w:r>
      <w:r w:rsidRPr="00F4306B">
        <w:t>ommittee on Administrative Rules (JCAR) and the Illinois General Assembly (ILGA) for approving rule proposals, legislative changes, and internal policies. In addition, the Department adheres to the requirements established in the Illinois Open Meetings Act (5 ILCS 120).</w:t>
      </w:r>
    </w:p>
    <w:p w14:paraId="05AA006D" w14:textId="77777777" w:rsidR="00E41651" w:rsidRDefault="00E41651" w:rsidP="00E41651">
      <w:pPr>
        <w:rPr>
          <w:i/>
        </w:rPr>
      </w:pPr>
    </w:p>
    <w:p w14:paraId="65DEFFA1" w14:textId="77777777" w:rsidR="00E41651" w:rsidRDefault="00E41651" w:rsidP="00E41651">
      <w:pPr>
        <w:rPr>
          <w:i/>
        </w:rPr>
      </w:pPr>
    </w:p>
    <w:p w14:paraId="3701BFDF" w14:textId="77777777" w:rsidR="00E41651" w:rsidRPr="00380377" w:rsidRDefault="00E41651" w:rsidP="00E41651">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592A9591" w14:textId="77777777" w:rsidR="00E41651" w:rsidRPr="00F7075F" w:rsidRDefault="00E41651" w:rsidP="00E41651">
      <w:pPr>
        <w:rPr>
          <w:i/>
        </w:rPr>
      </w:pPr>
    </w:p>
    <w:p w14:paraId="51B8C76C" w14:textId="77777777" w:rsidR="00E41651" w:rsidRDefault="00E41651" w:rsidP="00E41651">
      <w:r>
        <w:t>IDFPR accepts public complaints via its website and by phone. The average time from a complaint being received to an investigation being opened is five days. The average time to complete an investigation varies according to how the investigation proceeds:</w:t>
      </w:r>
    </w:p>
    <w:p w14:paraId="38C75BB8" w14:textId="77777777" w:rsidR="00E41651" w:rsidRDefault="00E41651" w:rsidP="00E41651"/>
    <w:p w14:paraId="53166162" w14:textId="77777777" w:rsidR="00E41651" w:rsidRDefault="00E41651" w:rsidP="00E41651">
      <w:pPr>
        <w:pStyle w:val="ListParagraph"/>
        <w:numPr>
          <w:ilvl w:val="0"/>
          <w:numId w:val="2"/>
        </w:numPr>
      </w:pPr>
      <w:r>
        <w:t>Average time to close a case at Investigations: 9 months</w:t>
      </w:r>
    </w:p>
    <w:p w14:paraId="1CA2C7A4" w14:textId="77777777" w:rsidR="00E41651" w:rsidRDefault="00E41651" w:rsidP="00E41651">
      <w:pPr>
        <w:pStyle w:val="ListParagraph"/>
        <w:numPr>
          <w:ilvl w:val="0"/>
          <w:numId w:val="2"/>
        </w:numPr>
      </w:pPr>
      <w:r>
        <w:t>Average time to refer a case from Investigations to Prosecutions: 4 months</w:t>
      </w:r>
    </w:p>
    <w:p w14:paraId="2BD1ACA8" w14:textId="77777777" w:rsidR="00E41651" w:rsidRDefault="00E41651" w:rsidP="00E41651">
      <w:pPr>
        <w:pStyle w:val="ListParagraph"/>
        <w:numPr>
          <w:ilvl w:val="0"/>
          <w:numId w:val="2"/>
        </w:numPr>
      </w:pPr>
      <w:r>
        <w:t>Average time to close a case at Prosecutions: 13 months</w:t>
      </w:r>
    </w:p>
    <w:p w14:paraId="25D966D9" w14:textId="77777777" w:rsidR="00E41651" w:rsidRPr="00F4306B" w:rsidRDefault="00E41651" w:rsidP="00E41651">
      <w:pPr>
        <w:pStyle w:val="ListParagraph"/>
        <w:numPr>
          <w:ilvl w:val="0"/>
          <w:numId w:val="2"/>
        </w:numPr>
      </w:pPr>
      <w:r>
        <w:t>Average time to close a case at Prosecutions with Discipline: 35 months</w:t>
      </w:r>
    </w:p>
    <w:p w14:paraId="204B670E" w14:textId="77777777" w:rsidR="00E41651" w:rsidRDefault="00E41651" w:rsidP="00E41651"/>
    <w:p w14:paraId="07BD3DDC" w14:textId="77777777" w:rsidR="00E41651" w:rsidRDefault="00E41651" w:rsidP="00E41651">
      <w:r>
        <w:t>These average times represent Department complaints overall. Individual complaint data for each regulated profession are not available.</w:t>
      </w:r>
    </w:p>
    <w:p w14:paraId="01FAD620" w14:textId="77777777" w:rsidR="00E41651" w:rsidRDefault="00E41651" w:rsidP="00E41651">
      <w:pPr>
        <w:rPr>
          <w:b/>
          <w:i/>
        </w:rPr>
      </w:pPr>
    </w:p>
    <w:p w14:paraId="0EF53BC1" w14:textId="77777777" w:rsidR="00E41651" w:rsidRDefault="00E41651" w:rsidP="00E41651">
      <w:r w:rsidRPr="00380377">
        <w:rPr>
          <w:b/>
          <w:i/>
        </w:rPr>
        <w:t>Criteria (9) “The extent to which changes are necessary in the enabling laws of the agency or program to adequately comply with the factors listed in this section.”</w:t>
      </w:r>
    </w:p>
    <w:p w14:paraId="71022272" w14:textId="77777777" w:rsidR="00E41651" w:rsidRDefault="00E41651" w:rsidP="00E41651"/>
    <w:p w14:paraId="79F05D41" w14:textId="77777777" w:rsidR="00E41651" w:rsidRDefault="007F777D" w:rsidP="00E41651">
      <w:r w:rsidRPr="007F777D">
        <w:t xml:space="preserve">In each relevant sunset extension proposed by the </w:t>
      </w:r>
      <w:r>
        <w:t>IDFPR</w:t>
      </w:r>
      <w:r w:rsidRPr="007F777D">
        <w:t>, the language provides for modernizations necessary to implement more streamlined and efficient regulation of this profession, which will ensure public safety and ease the burden of regulatory compliance.</w:t>
      </w:r>
    </w:p>
    <w:p w14:paraId="153691E8" w14:textId="77777777" w:rsidR="00E41651" w:rsidRDefault="00E41651" w:rsidP="00E41651"/>
    <w:p w14:paraId="69883E88" w14:textId="77777777" w:rsidR="00E41651" w:rsidRPr="00380377" w:rsidRDefault="00E41651" w:rsidP="00E41651">
      <w:pPr>
        <w:rPr>
          <w:b/>
        </w:rPr>
      </w:pPr>
      <w:r w:rsidRPr="00380377">
        <w:rPr>
          <w:b/>
        </w:rPr>
        <w:t>Conclusion:</w:t>
      </w:r>
    </w:p>
    <w:p w14:paraId="2AD3CBA9" w14:textId="77777777" w:rsidR="00E41651" w:rsidRDefault="00E41651" w:rsidP="00E41651"/>
    <w:p w14:paraId="1A38ED96" w14:textId="77777777" w:rsidR="008F18ED" w:rsidRDefault="000156C2">
      <w:r w:rsidRPr="000156C2">
        <w:t>The absence of regulation of Interior Designers would not significantly harm or endanger the public health, safety, or welfare of the citizens of Illinois. The Registered Interior Designers Act allows for title protection only. The associations in favor of regulation claim that only “Registered Interior Designers” can be guaranteed to know and follow health and safety guidelines. The only available study on Interior Design and health, safety, and welfare was funded by the industry’s six major associations, and it’s based on survey questions to those associations’ members. While our current law requires years of schooling and experience to use the title “registered Interior Designer,” there are no qualifications necessary to call oneself an “Interior Designer,” and anyone may practice residential interior design everywhere in the US.</w:t>
      </w:r>
      <w:r w:rsidR="008F18ED">
        <w:t xml:space="preserve"> The agency recommends an extension of the act.</w:t>
      </w:r>
      <w:bookmarkStart w:id="0" w:name="_GoBack"/>
      <w:bookmarkEnd w:id="0"/>
    </w:p>
    <w:p w14:paraId="14FF4925" w14:textId="77777777" w:rsidR="000156C2" w:rsidRDefault="000156C2"/>
    <w:sectPr w:rsidR="000156C2" w:rsidSect="00561D3D">
      <w:footerReference w:type="default" r:id="rId9"/>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E1E86" w14:textId="77777777" w:rsidR="00643AEA" w:rsidRDefault="00643AEA">
      <w:r>
        <w:separator/>
      </w:r>
    </w:p>
  </w:endnote>
  <w:endnote w:type="continuationSeparator" w:id="0">
    <w:p w14:paraId="0F75658F" w14:textId="77777777" w:rsidR="00643AEA" w:rsidRDefault="0064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15344" w14:textId="77777777" w:rsidR="00F57559" w:rsidRDefault="00DB2755">
    <w:pPr>
      <w:pStyle w:val="Footer"/>
      <w:jc w:val="right"/>
    </w:pPr>
  </w:p>
  <w:p w14:paraId="1AA43418" w14:textId="77777777" w:rsidR="00F57559" w:rsidRDefault="00DB2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4C62224B" w14:textId="77777777" w:rsidR="00191420" w:rsidRDefault="008F18ED">
        <w:pPr>
          <w:pStyle w:val="Footer"/>
          <w:jc w:val="right"/>
        </w:pPr>
        <w:r>
          <w:rPr>
            <w:noProof/>
          </w:rPr>
          <w:t>5</w:t>
        </w:r>
      </w:p>
    </w:sdtContent>
  </w:sdt>
  <w:p w14:paraId="6BCA7235" w14:textId="77777777" w:rsidR="00191420" w:rsidRDefault="00DB2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87453" w14:textId="77777777" w:rsidR="00643AEA" w:rsidRDefault="00643AEA">
      <w:r>
        <w:separator/>
      </w:r>
    </w:p>
  </w:footnote>
  <w:footnote w:type="continuationSeparator" w:id="0">
    <w:p w14:paraId="2DF45CE3" w14:textId="77777777" w:rsidR="00643AEA" w:rsidRDefault="00643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1762F"/>
    <w:multiLevelType w:val="hybridMultilevel"/>
    <w:tmpl w:val="146CE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FB53DD"/>
    <w:multiLevelType w:val="hybridMultilevel"/>
    <w:tmpl w:val="121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651"/>
    <w:rsid w:val="000156C2"/>
    <w:rsid w:val="004F3462"/>
    <w:rsid w:val="005C77EF"/>
    <w:rsid w:val="00643AEA"/>
    <w:rsid w:val="006E1F0C"/>
    <w:rsid w:val="007F777D"/>
    <w:rsid w:val="008129F7"/>
    <w:rsid w:val="00824A60"/>
    <w:rsid w:val="008F18ED"/>
    <w:rsid w:val="00A1428A"/>
    <w:rsid w:val="00A260AE"/>
    <w:rsid w:val="00A30007"/>
    <w:rsid w:val="00D778DD"/>
    <w:rsid w:val="00DB2755"/>
    <w:rsid w:val="00E41651"/>
    <w:rsid w:val="00E77288"/>
    <w:rsid w:val="00F21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D8416"/>
  <w15:chartTrackingRefBased/>
  <w15:docId w15:val="{B86677EC-4C97-4E82-B0C2-0E388DE5F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41651"/>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1651"/>
  </w:style>
  <w:style w:type="table" w:styleId="TableGrid">
    <w:name w:val="Table Grid"/>
    <w:basedOn w:val="TableNormal"/>
    <w:uiPriority w:val="59"/>
    <w:rsid w:val="00E41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41651"/>
    <w:pPr>
      <w:tabs>
        <w:tab w:val="center" w:pos="4680"/>
        <w:tab w:val="right" w:pos="9360"/>
      </w:tabs>
    </w:pPr>
  </w:style>
  <w:style w:type="character" w:customStyle="1" w:styleId="FooterChar">
    <w:name w:val="Footer Char"/>
    <w:basedOn w:val="DefaultParagraphFont"/>
    <w:link w:val="Footer"/>
    <w:uiPriority w:val="99"/>
    <w:rsid w:val="00E41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Curt ClemonsMosby</cp:lastModifiedBy>
  <cp:revision>3</cp:revision>
  <dcterms:created xsi:type="dcterms:W3CDTF">2020-11-04T20:04:00Z</dcterms:created>
  <dcterms:modified xsi:type="dcterms:W3CDTF">2020-11-09T17:23:00Z</dcterms:modified>
</cp:coreProperties>
</file>